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广东省流体机械技术学会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专家库管理办法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第一条</w:t>
      </w:r>
      <w:r>
        <w:rPr>
          <w:rFonts w:hint="eastAsia" w:ascii="仿宋_GB2312" w:hAnsi="仿宋_GB2312" w:eastAsia="仿宋_GB2312" w:cs="仿宋_GB2312"/>
          <w:sz w:val="28"/>
          <w:szCs w:val="28"/>
        </w:rPr>
        <w:t>　为了加强对广东省流体机械技术学会专家库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以下简称“专家库”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的管理，充分发挥专家的作用，保证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活动的科学性、公平性、公正性，结合实际，制定本办法。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第二条</w:t>
      </w:r>
      <w:r>
        <w:rPr>
          <w:rFonts w:hint="eastAsia" w:ascii="仿宋_GB2312" w:hAnsi="仿宋_GB2312" w:eastAsia="仿宋_GB2312" w:cs="仿宋_GB2312"/>
          <w:sz w:val="28"/>
          <w:szCs w:val="28"/>
        </w:rPr>
        <w:t>　本办法适用于广东省流体机械技术学会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以下简称“学会”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设立</w:t>
      </w:r>
      <w:r>
        <w:rPr>
          <w:rFonts w:hint="eastAsia" w:ascii="仿宋_GB2312" w:hAnsi="仿宋_GB2312" w:eastAsia="仿宋_GB2312" w:cs="仿宋_GB2312"/>
          <w:sz w:val="28"/>
          <w:szCs w:val="28"/>
        </w:rPr>
        <w:t>的专家库管理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和运作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学会</w:t>
      </w:r>
      <w:r>
        <w:rPr>
          <w:rFonts w:hint="eastAsia" w:ascii="仿宋_GB2312" w:hAnsi="仿宋_GB2312" w:eastAsia="仿宋_GB2312" w:cs="仿宋_GB2312"/>
          <w:sz w:val="28"/>
          <w:szCs w:val="28"/>
        </w:rPr>
        <w:t>秘书处负责专家库的日常管理工作。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专家库由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学会负责征集</w:t>
      </w:r>
      <w:r>
        <w:rPr>
          <w:rFonts w:hint="eastAsia" w:ascii="仿宋_GB2312" w:hAnsi="仿宋_GB2312" w:eastAsia="仿宋_GB2312" w:cs="仿宋_GB2312"/>
          <w:sz w:val="28"/>
          <w:szCs w:val="28"/>
        </w:rPr>
        <w:t>流体机械专业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学科领域和行业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从事技术开发、科技服务、经营管理、财务审计、法律援助等方面的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学者及知名专业人才</w:t>
      </w:r>
      <w:r>
        <w:rPr>
          <w:rFonts w:hint="eastAsia" w:ascii="仿宋_GB2312" w:hAnsi="仿宋_GB2312" w:eastAsia="仿宋_GB2312" w:cs="仿宋_GB2312"/>
          <w:sz w:val="28"/>
          <w:szCs w:val="28"/>
        </w:rPr>
        <w:t>组成。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主要职能，是作为学会的专业智库，在学会的组织下，依照学会章程和业务范围为社会提供相关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学科领域和行业的咨询服务。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sz w:val="28"/>
          <w:szCs w:val="28"/>
        </w:rPr>
        <w:t>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以自愿为原则，</w:t>
      </w:r>
      <w:r>
        <w:rPr>
          <w:rFonts w:hint="eastAsia" w:ascii="仿宋_GB2312" w:hAnsi="仿宋_GB2312" w:eastAsia="仿宋_GB2312" w:cs="仿宋_GB2312"/>
          <w:sz w:val="28"/>
          <w:szCs w:val="28"/>
        </w:rPr>
        <w:t>应当具备下列条件：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（一）在本专业或者本行业有较深造诣，熟悉本专业或者本行业的国内外情况和动态；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（二）坚持原则，作风正派，能够认真、客观公正、廉洁地履行职责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无犯罪前科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熟悉国家有关法律、法规和政策，掌握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相关专业的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技术规范和要求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（四）身心健康，适宜承担相关社会工作。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并符合以下条件之一：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1.技术专家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具有副高级（含）以上专业技术职称或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相当级职业</w:t>
      </w:r>
      <w:r>
        <w:rPr>
          <w:rFonts w:hint="eastAsia" w:ascii="仿宋_GB2312" w:hAnsi="仿宋_GB2312" w:eastAsia="仿宋_GB2312" w:cs="仿宋_GB2312"/>
          <w:sz w:val="28"/>
          <w:szCs w:val="28"/>
        </w:rPr>
        <w:t>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能证书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未取得副高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28"/>
          <w:szCs w:val="28"/>
        </w:rPr>
        <w:t>（含）以上职称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</w:rPr>
        <w:t>在行业有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sz w:val="28"/>
          <w:szCs w:val="28"/>
        </w:rPr>
        <w:t>影响力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技术水平相当于副高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28"/>
          <w:szCs w:val="28"/>
        </w:rPr>
        <w:t>（含）以上职称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的专业技术人才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具有博士学位并</w:t>
      </w:r>
      <w:r>
        <w:rPr>
          <w:rFonts w:hint="eastAsia" w:ascii="仿宋_GB2312" w:hAnsi="仿宋_GB2312" w:eastAsia="仿宋_GB2312" w:cs="仿宋_GB2312"/>
          <w:sz w:val="28"/>
          <w:szCs w:val="28"/>
        </w:rPr>
        <w:t>从事本行业技术工作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年以上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的专业技术人员。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28"/>
          <w:szCs w:val="28"/>
        </w:rPr>
        <w:t>承担过国家或省部级科技计划项目（课题）负责人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或主要人员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（排名前三）。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28"/>
          <w:szCs w:val="28"/>
        </w:rPr>
        <w:t>省部级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科技奖励获得者。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28"/>
          <w:szCs w:val="28"/>
        </w:rPr>
        <w:t>经认定的市级（含）以上各类高层次人才或人才团队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28"/>
          <w:szCs w:val="28"/>
        </w:rPr>
        <w:t>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28"/>
          <w:szCs w:val="28"/>
        </w:rPr>
        <w:t>科技型上市公司、国家高新技术企业、技术先进型服务企业的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（7</w:t>
      </w:r>
      <w:r>
        <w:rPr>
          <w:rFonts w:hint="eastAsia" w:ascii="仿宋_GB2312" w:hAnsi="仿宋_GB2312" w:eastAsia="仿宋_GB2312" w:cs="仿宋_GB2312"/>
          <w:sz w:val="28"/>
          <w:szCs w:val="28"/>
        </w:rPr>
        <w:t>）具有中级专业技术职称，连续从事本行业技术工作10年以上，有突出业绩或贡献的专业技术人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才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财务专家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具有副高级（含）以上财务、会计、税务、审计等专业职称；或取得注册会计师、注册税务师证书后，连续从事本专业5年以上，熟悉并有过科研项目预算评审、中期评估与结题验收等环节评审经历的专业人才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（2）取得中级财务、会计、税务、审计等专业职称后，连续从事本专业10年以上，熟悉并有过科研项目预算评审、中期评估与结题验收等环节评审经历的专业人才。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3.管理与经济研究专家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（1）科技型企业、国家高新技术企业、国家创新型(试点)企业、国家专精特新“小巨人”企业等具有丰富企业管理经历的高级管理人员。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（2）大专院校、科研院所、行业组织等具有丰富行业经济经济研究及取得相关成果，拥有硕士（含）以上学位的研究人员和学者。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（3）国家级高新区、科技园区和各类创业服务机构对成果转化、产业发展、科技服务有突出贡献的人员。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（4）获得中级（含）以上专业职称或相应从业资格证书，从事法律援助工作5年以上的人员。</w:t>
      </w:r>
      <w:r>
        <w:rPr>
          <w:rFonts w:hint="eastAsia" w:ascii="宋体" w:hAnsi="宋体" w:eastAsia="宋体"/>
          <w:color w:val="000000"/>
          <w:sz w:val="32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专家入选专家库，采取个人申请或者单位推荐方式向学会提出申请，并填写《广东省流体机械技术学会专家库-专家信息表》（附件1），及附有符合本办法规定条件的证明材料。学会对专家提供入库申请的个人信息保密，未经专家许可不得挪作他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经学会审核通过的入库专家，给予颁发《专家聘书》，原则上有效期为三年，期满可以申请续聘。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参加评审活动的专家应当本着科学求实和负责的态度认真履行职责，客观、公正地提出评审意见，并对评审结论负责。与被评审组织存在利益关系，可能影响审查公正性的情况时，应当主动提出回避。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入库专家拥有自愿退出专家库权利。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入选专家库的专家有下列情形之一的，由学会予以警告；情节严重的，取消其入选专家库资格，并予以公告：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（一）不负责任，弄虚作假，或者其他不客观、公正履行审查职责的；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（二）与被评审组织存在利益关系，可能影响评审公正性的情况，未主动提出回避的；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（三）泄露在评审过程中知悉的技术秘密、商业秘密以及其他不宜公开的情况的；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（四）收受他人的财物或者其他好处的，影响客观、公正履行审查职责的。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有前款规定情形，违反国家有关法律、行政法规的，依法追究法律责任。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本办法自公布之日起施行，解释权归学会秘书处。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广东省流体机械技术学会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2024年2月18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before="312" w:beforeLines="100" w:after="312" w:afterLines="100"/>
        <w:ind w:firstLine="1280" w:firstLineChars="400"/>
        <w:jc w:val="both"/>
        <w:rPr>
          <w:rFonts w:hint="eastAsia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231775</wp:posOffset>
                </wp:positionV>
                <wp:extent cx="1219200" cy="39941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No: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0.45pt;margin-top:18.25pt;height:31.45pt;width:96pt;z-index:-251657216;mso-width-relative:page;mso-height-relative:page;" filled="f" stroked="f" coordsize="21600,21600" o:gfxdata="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d1UK9YAAAAJAQAADwAAAAAAAAABACAAAAAiAAAAZHJzL2Rv&#10;d25yZXYueG1sUEsBAhQAFAAAAAgAh07iQE8wvd/KAQAAgQMAAA4AAAAAAAAAAQAgAAAAJQEAAGRy&#10;cy9lMm9Eb2MueG1sUEsFBgAAAAAGAAYAWQEAAG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No: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广东省</w:t>
      </w:r>
      <w:r>
        <w:rPr>
          <w:rFonts w:hint="eastAsia"/>
          <w:b/>
          <w:sz w:val="32"/>
          <w:szCs w:val="32"/>
          <w:lang w:eastAsia="zh-CN"/>
        </w:rPr>
        <w:t>流体</w:t>
      </w:r>
      <w:r>
        <w:rPr>
          <w:rFonts w:hint="eastAsia"/>
          <w:b/>
          <w:sz w:val="32"/>
          <w:szCs w:val="32"/>
        </w:rPr>
        <w:t>机械</w:t>
      </w:r>
      <w:r>
        <w:rPr>
          <w:rFonts w:hint="eastAsia"/>
          <w:b/>
          <w:sz w:val="32"/>
          <w:szCs w:val="32"/>
          <w:lang w:eastAsia="zh-CN"/>
        </w:rPr>
        <w:t>技术学会专家库</w:t>
      </w:r>
      <w:r>
        <w:rPr>
          <w:rFonts w:hint="eastAsia"/>
          <w:b/>
          <w:sz w:val="32"/>
          <w:szCs w:val="32"/>
        </w:rPr>
        <w:t>-专家信息表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85"/>
        <w:gridCol w:w="850"/>
        <w:gridCol w:w="1701"/>
        <w:gridCol w:w="1182"/>
        <w:gridCol w:w="51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6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专家类别</w:t>
            </w:r>
          </w:p>
        </w:tc>
        <w:tc>
          <w:tcPr>
            <w:tcW w:w="8390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□技术专家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管理与经济研究专家  □财务专家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□高等院校  □科研院所  □企事业单位</w:t>
            </w:r>
          </w:p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□政府部门  □社会团体  □其他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务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证编号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 机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研究领域</w:t>
            </w:r>
          </w:p>
        </w:tc>
        <w:tc>
          <w:tcPr>
            <w:tcW w:w="839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个人简历（含主要工作经历、专业研究及获奖情况、学术兼职情况等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，可另外附页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609" w:type="dxa"/>
            <w:gridSpan w:val="7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ind w:right="420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ind w:firstLine="480" w:firstLineChars="2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专家签名：　　　　　日期：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9609" w:type="dxa"/>
            <w:gridSpan w:val="7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学会意见：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广东省流体机械技术学会（盖章）</w:t>
            </w:r>
          </w:p>
        </w:tc>
      </w:tr>
    </w:tbl>
    <w:p>
      <w:pPr>
        <w:spacing w:line="20" w:lineRule="exact"/>
        <w:rPr>
          <w:rFonts w:ascii="宋体" w:hAnsi="宋体"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请专家如实填写个人信息，并对以上所填写内容的真实性负责。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2、入库专家需提交学历学位证、职称证、职业资格证等相关证书扫描件电子文档备案。</w:t>
      </w:r>
    </w:p>
    <w:sectPr>
      <w:headerReference r:id="rId4" w:type="default"/>
      <w:footerReference r:id="rId5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S/LYV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790825" cy="467360"/>
          <wp:effectExtent l="0" t="0" r="13335" b="5080"/>
          <wp:docPr id="3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54026"/>
    <w:multiLevelType w:val="singleLevel"/>
    <w:tmpl w:val="EDD54026"/>
    <w:lvl w:ilvl="0" w:tentative="0">
      <w:start w:val="10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97C"/>
    <w:rsid w:val="00057443"/>
    <w:rsid w:val="00144C69"/>
    <w:rsid w:val="0018290E"/>
    <w:rsid w:val="001B011A"/>
    <w:rsid w:val="002E6A25"/>
    <w:rsid w:val="00304013"/>
    <w:rsid w:val="003E3BC2"/>
    <w:rsid w:val="004A0F5D"/>
    <w:rsid w:val="004F3A4F"/>
    <w:rsid w:val="005C0822"/>
    <w:rsid w:val="006032B9"/>
    <w:rsid w:val="006E27C7"/>
    <w:rsid w:val="007036FB"/>
    <w:rsid w:val="00862767"/>
    <w:rsid w:val="008650E5"/>
    <w:rsid w:val="009A6D2F"/>
    <w:rsid w:val="009E36BC"/>
    <w:rsid w:val="00A41E3A"/>
    <w:rsid w:val="00A66B81"/>
    <w:rsid w:val="00A95CD9"/>
    <w:rsid w:val="00AC3CB7"/>
    <w:rsid w:val="00B4282D"/>
    <w:rsid w:val="00D44363"/>
    <w:rsid w:val="00DB46DF"/>
    <w:rsid w:val="00EB6FCE"/>
    <w:rsid w:val="00F6705A"/>
    <w:rsid w:val="00F87872"/>
    <w:rsid w:val="0A684062"/>
    <w:rsid w:val="14533002"/>
    <w:rsid w:val="15750F7F"/>
    <w:rsid w:val="233462CF"/>
    <w:rsid w:val="23AD393E"/>
    <w:rsid w:val="254C2A3F"/>
    <w:rsid w:val="29291788"/>
    <w:rsid w:val="2BF21EB8"/>
    <w:rsid w:val="2F923E81"/>
    <w:rsid w:val="333C2AB0"/>
    <w:rsid w:val="34804679"/>
    <w:rsid w:val="39034840"/>
    <w:rsid w:val="4494491E"/>
    <w:rsid w:val="5DFF6122"/>
    <w:rsid w:val="5ED1712E"/>
    <w:rsid w:val="6A921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46</Words>
  <Characters>265</Characters>
  <Lines>2</Lines>
  <Paragraphs>1</Paragraphs>
  <TotalTime>1</TotalTime>
  <ScaleCrop>false</ScaleCrop>
  <LinksUpToDate>false</LinksUpToDate>
  <CharactersWithSpaces>310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2016-06-12T01:14:00Z</dcterms:created>
  <dc:creator>luo</dc:creator>
  <cp:lastModifiedBy>James.wang</cp:lastModifiedBy>
  <cp:lastPrinted>2016-04-26T08:13:00Z</cp:lastPrinted>
  <dcterms:modified xsi:type="dcterms:W3CDTF">2024-08-07T13:59:32Z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8F52C15EC7D2450A85952546D3A16304</vt:lpwstr>
  </property>
</Properties>
</file>